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position w:val="35"/>
          <w:sz w:val="43"/>
          <w:szCs w:val="43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position w:val="35"/>
          <w:sz w:val="43"/>
          <w:szCs w:val="43"/>
          <w:lang w:eastAsia="zh-CN"/>
        </w:rPr>
        <w:t>“探知科技馆”新媒体传播活动方案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  <w:t>一、活动介绍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暑期将至，科技馆和各科普教育基地为广大公众，特别是青少年们准备了丰富精彩的展览教育活动。为了让更多公众看到科技馆、走进科技馆、参与科普活动，同时加强优质科普短视频资源线上传播的深度和广度，江苏省科学传播中心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  <w:t>江苏省科普场馆协会、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抖音集团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、抖音生活服务推出“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CN"/>
        </w:rPr>
        <w:t>‘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  <w:t>好奇中国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CN"/>
        </w:rPr>
        <w:t>’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科技馆专项活动——探知科技馆”新媒体传播活动。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  <w:t>二、活动安排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（一）五月活动安排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1.活动主题：礼赞科学家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2.活动时间：2024.5.7 - 2024.5.30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3.参与条件：官方身份的科技馆/天文馆/自然科学类博物馆账号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4.活动参与：按照活动内容要求和话题发布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5.内容要求：分享场馆内的科学发现，或者讲述与科学家故事/精神、科学家研究成果相关的科学实验/科普知识/展项讲解（需有知识原理，活动集锦不符合激励要求） 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6.发布要求：带 #探知科技馆 #礼赞科学家 #好奇中国 3个话题，并@抖音青少年 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7.【活动激励】：优质视频单条获得至少1万的曝光激励，本期优质投稿数量提升top6还可获得100dou+券激励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8.【激励领取】：填写提报表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https://docs.qq.com/sheet/DY3VZY1p3aFp2bXNx?tab=n3f6l7   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（二）六一活动安排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6.1儿童节即将到来，科普场馆作为儿童学习和探索科学知识的重要场所，抖音发起热点话题活动 #小学生过六一的新奇打开方式，让孩子们在欢乐的氛围中学习科学知识，度过一个有意义的节日。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1.活动视频发布时间：6月1日 10:00-11:00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2.话题要求：带 #小学生过六一的新奇打开方式 #探知科技馆 #好奇中国 发布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3.活动激励：单条视频可获得500-3000元的dou+投放，单个账号最多可提报2条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4.报名方式：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（1）阅读热点活动的内容要求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fldChar w:fldCharType="begin"/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instrText xml:space="preserve"> HYPERLINK "https://bytedance.larkoffice.com/docx/F0Uzdl61cogeHUxBjdCc3Wv1nRe" </w:instrTex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fldChar w:fldCharType="separate"/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https://bytedance.larkoffice.com/docx/F0Uzdl61cogeHUxBjdCc3Wv1nRe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fldChar w:fldCharType="end"/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（2）确认可制作后填写报名表：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https://bytedance.larkoffice.com/sheets/GCgbsMen0hhKoYtoUiPcuZNsn6f 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抖音工作人员将进行审核，审核通过后可进行发布。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  <w:t>三、活动目标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1.通过线上线下相结合的科普活动，助力国家“双减”政策，激发广大青少年的好奇心和求知欲。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2.提升科技馆社会影响力，为公众提供高质量科普服务。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  <w:t>四、进度安排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    1.开设抖音账号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并完成地理位置poi平台入驻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。6月4日前，各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在抖音集团工作人员帮助下开设抖音官方账号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并完成地理位置poi平台入驻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，明确相关联系人，做好后续对接工作。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    2.开展专业培训。6月4日前，抖音集团义务组织精干师资力量，对各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相关负责人进行培训，解决技术问题，提升对外宣传能力和水平，帮助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更快、更好地开展线上活动。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    3.实际操作。培训完成后，各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要积极制作与本馆和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科普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相关的短视频，经审核后在官方抖音账号上发布，抖音将对优质视频投入流量进行扶持宣推。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 xml:space="preserve">    4.开设专属话题。6月4日前，完成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集体入驻，开设“#探知科技馆 #好奇中国 #来科技馆吧”专属话题页，聚合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科技馆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所有相关短视频内容，形成视频传播矩阵。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  <w:lang w:eastAsia="en-US"/>
        </w:rPr>
        <w:t>五、联系人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抖音项目负责人：杨佳瑜 18511581221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抖音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  <w:t>生活服务（POI等问题）相关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  <w:t>负责人：何继琴 17730405605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仿宋_GB2312" w:hAnsi="宋体" w:eastAsia="仿宋_GB2312" w:cs="宋体"/>
          <w:snapToGrid w:val="0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BBD1DE-D903-4A3C-B714-222C1FFC4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B50F57-702C-43AC-AA35-89C90138B0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owdo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9ujB2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jQyZmQxNmZhNTQ4NWI0NzZkZjlkMmY3NDQ0YWMifQ=="/>
  </w:docVars>
  <w:rsids>
    <w:rsidRoot w:val="00000000"/>
    <w:rsid w:val="02EA68D9"/>
    <w:rsid w:val="06F62EE6"/>
    <w:rsid w:val="08640C24"/>
    <w:rsid w:val="08AC405C"/>
    <w:rsid w:val="0A6B46FF"/>
    <w:rsid w:val="0A8F3EAA"/>
    <w:rsid w:val="0AB76654"/>
    <w:rsid w:val="0E1D7DAB"/>
    <w:rsid w:val="1BFF1F36"/>
    <w:rsid w:val="1D8B26A6"/>
    <w:rsid w:val="1E6D4382"/>
    <w:rsid w:val="1E6F5D7F"/>
    <w:rsid w:val="245F0DB7"/>
    <w:rsid w:val="279B723C"/>
    <w:rsid w:val="2AD03A9F"/>
    <w:rsid w:val="2DFB6F1E"/>
    <w:rsid w:val="2F7D0D39"/>
    <w:rsid w:val="2FF629F8"/>
    <w:rsid w:val="303D0170"/>
    <w:rsid w:val="320C6C00"/>
    <w:rsid w:val="369404C2"/>
    <w:rsid w:val="38326AAB"/>
    <w:rsid w:val="3A170AE3"/>
    <w:rsid w:val="3AA772C7"/>
    <w:rsid w:val="3AEF17ED"/>
    <w:rsid w:val="3B1DA3E8"/>
    <w:rsid w:val="3FF78E38"/>
    <w:rsid w:val="402D1859"/>
    <w:rsid w:val="424F333E"/>
    <w:rsid w:val="42E971F0"/>
    <w:rsid w:val="441822CB"/>
    <w:rsid w:val="446B0825"/>
    <w:rsid w:val="4D1D2D5C"/>
    <w:rsid w:val="4F304989"/>
    <w:rsid w:val="4F4D0FCB"/>
    <w:rsid w:val="50BD68A4"/>
    <w:rsid w:val="543556C5"/>
    <w:rsid w:val="57F014E9"/>
    <w:rsid w:val="57FF5056"/>
    <w:rsid w:val="5BD1D6E1"/>
    <w:rsid w:val="5BFF380B"/>
    <w:rsid w:val="5D9E2311"/>
    <w:rsid w:val="5E5D3E5D"/>
    <w:rsid w:val="5FA79B95"/>
    <w:rsid w:val="605338F5"/>
    <w:rsid w:val="60F065EE"/>
    <w:rsid w:val="6D5F7B16"/>
    <w:rsid w:val="6FADD7F0"/>
    <w:rsid w:val="729E7131"/>
    <w:rsid w:val="7496646E"/>
    <w:rsid w:val="7B6BAFEF"/>
    <w:rsid w:val="7BEB496C"/>
    <w:rsid w:val="7D73E68E"/>
    <w:rsid w:val="7DF7F9C2"/>
    <w:rsid w:val="7E7DBE3E"/>
    <w:rsid w:val="7EB5D1A7"/>
    <w:rsid w:val="90FFA758"/>
    <w:rsid w:val="924F693C"/>
    <w:rsid w:val="9BEF33A1"/>
    <w:rsid w:val="AAFFA04F"/>
    <w:rsid w:val="ADFFA333"/>
    <w:rsid w:val="AFFFC38A"/>
    <w:rsid w:val="B98F285D"/>
    <w:rsid w:val="BBE365D1"/>
    <w:rsid w:val="BFD76F59"/>
    <w:rsid w:val="BFFBBC61"/>
    <w:rsid w:val="CFF3D0CD"/>
    <w:rsid w:val="DFF79D40"/>
    <w:rsid w:val="E7FF378F"/>
    <w:rsid w:val="ECDD028A"/>
    <w:rsid w:val="EFFDB5CE"/>
    <w:rsid w:val="F5E788E7"/>
    <w:rsid w:val="F74FE683"/>
    <w:rsid w:val="FADF4A6F"/>
    <w:rsid w:val="FEED5DFA"/>
    <w:rsid w:val="FFBF915E"/>
    <w:rsid w:val="FFBFBAF7"/>
    <w:rsid w:val="FFF73062"/>
    <w:rsid w:val="FFFEE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15"/>
    <w:basedOn w:val="7"/>
    <w:qFormat/>
    <w:uiPriority w:val="0"/>
    <w:rPr>
      <w:rFonts w:hint="default" w:ascii="Calibri" w:hAnsi="Calibri" w:cs="Calibri"/>
      <w:color w:val="0563C1"/>
      <w:u w:val="single"/>
    </w:rPr>
  </w:style>
  <w:style w:type="character" w:customStyle="1" w:styleId="14">
    <w:name w:val="10"/>
    <w:basedOn w:val="7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737</Characters>
  <Lines>1</Lines>
  <Paragraphs>1</Paragraphs>
  <TotalTime>10</TotalTime>
  <ScaleCrop>false</ScaleCrop>
  <LinksUpToDate>false</LinksUpToDate>
  <CharactersWithSpaces>776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2023-04-18T10:29:00Z</dcterms:created>
  <dc:creator>Administrator</dc:creator>
  <cp:lastModifiedBy>Cui Cui </cp:lastModifiedBy>
  <cp:lastPrinted>2024-05-21T03:21:00Z</cp:lastPrinted>
  <dcterms:modified xsi:type="dcterms:W3CDTF">2024-05-23T01:30:20Z</dcterms:modified>
  <dc:title>河南省科协办公室关于举办“探知科技馆”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C73E777E07624153AFED63434E8F02FC_13</vt:lpwstr>
  </property>
</Properties>
</file>