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仿宋_GB2312"/>
          <w:sz w:val="32"/>
          <w:szCs w:val="32"/>
        </w:rPr>
      </w:pPr>
      <w:r>
        <w:rPr>
          <w:rFonts w:hint="eastAsia" w:eastAsia="仿宋_GB2312"/>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江苏省科普场馆协会2015年</w:t>
      </w:r>
      <w:r>
        <w:rPr>
          <w:rFonts w:ascii="方正小标宋简体" w:eastAsia="方正小标宋简体"/>
          <w:sz w:val="36"/>
          <w:szCs w:val="36"/>
        </w:rPr>
        <w:t>全国</w:t>
      </w:r>
      <w:r>
        <w:rPr>
          <w:rFonts w:hint="eastAsia" w:ascii="方正小标宋简体" w:eastAsia="方正小标宋简体"/>
          <w:sz w:val="36"/>
          <w:szCs w:val="36"/>
        </w:rPr>
        <w:t>科技</w:t>
      </w:r>
      <w:r>
        <w:rPr>
          <w:rFonts w:ascii="方正小标宋简体" w:eastAsia="方正小标宋简体"/>
          <w:sz w:val="36"/>
          <w:szCs w:val="36"/>
        </w:rPr>
        <w:t>活动周</w:t>
      </w:r>
    </w:p>
    <w:p>
      <w:pPr>
        <w:jc w:val="center"/>
        <w:rPr>
          <w:rFonts w:ascii="方正小标宋简体" w:eastAsia="方正小标宋简体"/>
          <w:sz w:val="36"/>
          <w:szCs w:val="36"/>
        </w:rPr>
      </w:pPr>
      <w:r>
        <w:rPr>
          <w:rFonts w:ascii="方正小标宋简体" w:eastAsia="方正小标宋简体"/>
          <w:sz w:val="36"/>
          <w:szCs w:val="36"/>
        </w:rPr>
        <w:t>暨江苏省第二十</w:t>
      </w:r>
      <w:r>
        <w:rPr>
          <w:rFonts w:hint="eastAsia" w:ascii="方正小标宋简体" w:eastAsia="方正小标宋简体"/>
          <w:sz w:val="36"/>
          <w:szCs w:val="36"/>
        </w:rPr>
        <w:t>七</w:t>
      </w:r>
      <w:r>
        <w:rPr>
          <w:rFonts w:ascii="方正小标宋简体" w:eastAsia="方正小标宋简体"/>
          <w:sz w:val="36"/>
          <w:szCs w:val="36"/>
        </w:rPr>
        <w:t>届科普宣传周</w:t>
      </w:r>
      <w:r>
        <w:rPr>
          <w:rFonts w:hint="eastAsia" w:ascii="方正小标宋简体" w:eastAsia="方正小标宋简体"/>
          <w:sz w:val="36"/>
          <w:szCs w:val="36"/>
        </w:rPr>
        <w:t>活动方案</w:t>
      </w:r>
    </w:p>
    <w:p>
      <w:pPr>
        <w:jc w:val="center"/>
        <w:rPr>
          <w:rFonts w:ascii="方正小标宋简体" w:eastAsia="方正小标宋简体"/>
          <w:sz w:val="36"/>
          <w:szCs w:val="36"/>
        </w:rPr>
      </w:pPr>
    </w:p>
    <w:tbl>
      <w:tblPr>
        <w:tblStyle w:val="5"/>
        <w:tblW w:w="8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720"/>
        <w:gridCol w:w="2235"/>
        <w:gridCol w:w="1671"/>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92" w:type="dxa"/>
            <w:gridSpan w:val="2"/>
            <w:vAlign w:val="top"/>
          </w:tcPr>
          <w:p>
            <w:pPr>
              <w:jc w:val="center"/>
              <w:rPr>
                <w:rFonts w:ascii="仿宋_GB2312" w:eastAsia="仿宋_GB2312"/>
                <w:sz w:val="28"/>
                <w:szCs w:val="28"/>
              </w:rPr>
            </w:pPr>
            <w:r>
              <w:rPr>
                <w:rFonts w:hint="eastAsia" w:ascii="仿宋_GB2312" w:eastAsia="仿宋_GB2312"/>
                <w:sz w:val="28"/>
                <w:szCs w:val="28"/>
              </w:rPr>
              <w:t>单位名称</w:t>
            </w:r>
          </w:p>
        </w:tc>
        <w:tc>
          <w:tcPr>
            <w:tcW w:w="7018" w:type="dxa"/>
            <w:gridSpan w:val="3"/>
            <w:vAlign w:val="top"/>
          </w:tcPr>
          <w:p>
            <w:pPr>
              <w:jc w:val="center"/>
              <w:rPr>
                <w:rFonts w:ascii="仿宋_GB2312" w:eastAsia="仿宋_GB2312"/>
                <w:sz w:val="32"/>
                <w:szCs w:val="32"/>
              </w:rPr>
            </w:pPr>
            <w:r>
              <w:rPr>
                <w:rFonts w:hint="eastAsia" w:ascii="仿宋_GB2312" w:eastAsia="仿宋_GB2312"/>
                <w:sz w:val="32"/>
                <w:szCs w:val="32"/>
              </w:rPr>
              <w:t>南京市红山森林动物园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92" w:type="dxa"/>
            <w:gridSpan w:val="2"/>
            <w:vAlign w:val="top"/>
          </w:tcPr>
          <w:p>
            <w:pPr>
              <w:jc w:val="center"/>
              <w:rPr>
                <w:rFonts w:ascii="仿宋_GB2312" w:eastAsia="仿宋_GB2312"/>
                <w:sz w:val="28"/>
                <w:szCs w:val="28"/>
              </w:rPr>
            </w:pPr>
            <w:r>
              <w:rPr>
                <w:rFonts w:hint="eastAsia" w:ascii="仿宋_GB2312" w:eastAsia="仿宋_GB2312"/>
                <w:sz w:val="28"/>
                <w:szCs w:val="28"/>
              </w:rPr>
              <w:t>联 系 人</w:t>
            </w:r>
          </w:p>
        </w:tc>
        <w:tc>
          <w:tcPr>
            <w:tcW w:w="2235" w:type="dxa"/>
            <w:vAlign w:val="top"/>
          </w:tcPr>
          <w:p>
            <w:pPr>
              <w:jc w:val="center"/>
              <w:rPr>
                <w:rFonts w:ascii="仿宋_GB2312" w:eastAsia="仿宋_GB2312"/>
                <w:sz w:val="32"/>
                <w:szCs w:val="32"/>
              </w:rPr>
            </w:pPr>
            <w:r>
              <w:rPr>
                <w:rFonts w:hint="eastAsia" w:ascii="仿宋_GB2312" w:eastAsia="仿宋_GB2312"/>
                <w:sz w:val="32"/>
                <w:szCs w:val="32"/>
              </w:rPr>
              <w:t>周莉娅</w:t>
            </w:r>
          </w:p>
        </w:tc>
        <w:tc>
          <w:tcPr>
            <w:tcW w:w="1671" w:type="dxa"/>
            <w:vAlign w:val="top"/>
          </w:tcPr>
          <w:p>
            <w:pPr>
              <w:jc w:val="center"/>
              <w:rPr>
                <w:rFonts w:ascii="仿宋_GB2312" w:eastAsia="仿宋_GB2312"/>
                <w:b/>
                <w:bCs/>
                <w:sz w:val="32"/>
                <w:szCs w:val="32"/>
              </w:rPr>
            </w:pPr>
            <w:r>
              <w:rPr>
                <w:rFonts w:hint="eastAsia" w:ascii="仿宋_GB2312" w:eastAsia="仿宋_GB2312"/>
                <w:sz w:val="28"/>
                <w:szCs w:val="28"/>
              </w:rPr>
              <w:t>联系电话</w:t>
            </w:r>
          </w:p>
        </w:tc>
        <w:tc>
          <w:tcPr>
            <w:tcW w:w="3112" w:type="dxa"/>
            <w:vAlign w:val="top"/>
          </w:tcPr>
          <w:p>
            <w:pPr>
              <w:jc w:val="center"/>
              <w:rPr>
                <w:rFonts w:ascii="仿宋_GB2312" w:eastAsia="仿宋_GB2312"/>
                <w:sz w:val="32"/>
                <w:szCs w:val="32"/>
              </w:rPr>
            </w:pPr>
            <w:r>
              <w:rPr>
                <w:rFonts w:hint="eastAsia" w:ascii="仿宋_GB2312" w:eastAsia="仿宋_GB2312"/>
                <w:sz w:val="32"/>
                <w:szCs w:val="32"/>
              </w:rPr>
              <w:t>85518101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6" w:hRule="atLeast"/>
        </w:trPr>
        <w:tc>
          <w:tcPr>
            <w:tcW w:w="872" w:type="dxa"/>
            <w:vAlign w:val="center"/>
          </w:tcPr>
          <w:p>
            <w:pPr>
              <w:jc w:val="center"/>
              <w:rPr>
                <w:rFonts w:ascii="仿宋_GB2312" w:hAnsi="仿宋" w:eastAsia="仿宋_GB2312"/>
                <w:sz w:val="28"/>
                <w:szCs w:val="28"/>
              </w:rPr>
            </w:pPr>
            <w:r>
              <w:rPr>
                <w:rFonts w:hint="eastAsia" w:ascii="仿宋_GB2312" w:hAnsi="仿宋" w:eastAsia="仿宋_GB2312"/>
                <w:sz w:val="28"/>
                <w:szCs w:val="28"/>
              </w:rPr>
              <w:t>活</w:t>
            </w:r>
          </w:p>
          <w:p>
            <w:pPr>
              <w:jc w:val="center"/>
              <w:rPr>
                <w:rFonts w:ascii="仿宋_GB2312" w:hAnsi="仿宋" w:eastAsia="仿宋_GB2312"/>
                <w:sz w:val="28"/>
                <w:szCs w:val="28"/>
              </w:rPr>
            </w:pPr>
            <w:r>
              <w:rPr>
                <w:rFonts w:hint="eastAsia" w:ascii="仿宋_GB2312" w:hAnsi="仿宋" w:eastAsia="仿宋_GB2312"/>
                <w:sz w:val="28"/>
                <w:szCs w:val="28"/>
              </w:rPr>
              <w:t>动</w:t>
            </w:r>
          </w:p>
          <w:p>
            <w:pPr>
              <w:jc w:val="center"/>
              <w:rPr>
                <w:rFonts w:ascii="仿宋_GB2312" w:hAnsi="仿宋" w:eastAsia="仿宋_GB2312"/>
                <w:sz w:val="28"/>
                <w:szCs w:val="28"/>
              </w:rPr>
            </w:pPr>
            <w:r>
              <w:rPr>
                <w:rFonts w:hint="eastAsia" w:ascii="仿宋_GB2312" w:hAnsi="仿宋" w:eastAsia="仿宋_GB2312"/>
                <w:sz w:val="28"/>
                <w:szCs w:val="28"/>
              </w:rPr>
              <w:t>项</w:t>
            </w:r>
          </w:p>
          <w:p>
            <w:pPr>
              <w:jc w:val="center"/>
              <w:rPr>
                <w:rFonts w:ascii="仿宋_GB2312" w:hAnsi="仿宋" w:eastAsia="仿宋_GB2312"/>
                <w:sz w:val="28"/>
                <w:szCs w:val="28"/>
              </w:rPr>
            </w:pPr>
            <w:r>
              <w:rPr>
                <w:rFonts w:hint="eastAsia" w:ascii="仿宋_GB2312" w:hAnsi="仿宋" w:eastAsia="仿宋_GB2312"/>
                <w:sz w:val="28"/>
                <w:szCs w:val="28"/>
              </w:rPr>
              <w:t>目</w:t>
            </w:r>
          </w:p>
          <w:p>
            <w:pPr>
              <w:jc w:val="center"/>
              <w:rPr>
                <w:rFonts w:ascii="仿宋_GB2312" w:hAnsi="仿宋" w:eastAsia="仿宋_GB2312"/>
                <w:sz w:val="28"/>
                <w:szCs w:val="28"/>
              </w:rPr>
            </w:pPr>
            <w:r>
              <w:rPr>
                <w:rFonts w:hint="eastAsia" w:ascii="仿宋_GB2312" w:hAnsi="仿宋" w:eastAsia="仿宋_GB2312"/>
                <w:sz w:val="28"/>
                <w:szCs w:val="28"/>
              </w:rPr>
              <w:t>名</w:t>
            </w:r>
          </w:p>
          <w:p>
            <w:pPr>
              <w:jc w:val="center"/>
              <w:rPr>
                <w:rFonts w:ascii="仿宋_GB2312" w:hAnsi="仿宋" w:eastAsia="仿宋_GB2312"/>
                <w:sz w:val="28"/>
                <w:szCs w:val="28"/>
              </w:rPr>
            </w:pPr>
            <w:r>
              <w:rPr>
                <w:rFonts w:hint="eastAsia" w:ascii="仿宋_GB2312" w:hAnsi="仿宋" w:eastAsia="仿宋_GB2312"/>
                <w:sz w:val="28"/>
                <w:szCs w:val="28"/>
              </w:rPr>
              <w:t>称</w:t>
            </w:r>
          </w:p>
          <w:p>
            <w:pPr>
              <w:jc w:val="center"/>
              <w:rPr>
                <w:rFonts w:ascii="仿宋_GB2312" w:hAnsi="仿宋" w:eastAsia="仿宋_GB2312"/>
                <w:sz w:val="28"/>
                <w:szCs w:val="28"/>
              </w:rPr>
            </w:pPr>
            <w:r>
              <w:rPr>
                <w:rFonts w:hint="eastAsia" w:ascii="仿宋_GB2312" w:hAnsi="仿宋" w:eastAsia="仿宋_GB2312"/>
                <w:sz w:val="28"/>
                <w:szCs w:val="28"/>
              </w:rPr>
              <w:t>及</w:t>
            </w:r>
          </w:p>
          <w:p>
            <w:pPr>
              <w:jc w:val="center"/>
              <w:rPr>
                <w:rFonts w:ascii="仿宋_GB2312" w:hAnsi="仿宋" w:eastAsia="仿宋_GB2312"/>
                <w:sz w:val="28"/>
                <w:szCs w:val="28"/>
              </w:rPr>
            </w:pPr>
            <w:r>
              <w:rPr>
                <w:rFonts w:hint="eastAsia" w:ascii="仿宋_GB2312" w:hAnsi="仿宋" w:eastAsia="仿宋_GB2312"/>
                <w:sz w:val="28"/>
                <w:szCs w:val="28"/>
              </w:rPr>
              <w:t>内</w:t>
            </w:r>
          </w:p>
          <w:p>
            <w:pPr>
              <w:jc w:val="center"/>
              <w:rPr>
                <w:rFonts w:ascii="仿宋_GB2312" w:hAnsi="仿宋" w:eastAsia="仿宋_GB2312"/>
                <w:sz w:val="28"/>
                <w:szCs w:val="28"/>
              </w:rPr>
            </w:pPr>
            <w:r>
              <w:rPr>
                <w:rFonts w:hint="eastAsia" w:ascii="仿宋_GB2312" w:hAnsi="仿宋" w:eastAsia="仿宋_GB2312"/>
                <w:sz w:val="28"/>
                <w:szCs w:val="28"/>
              </w:rPr>
              <w:t>容</w:t>
            </w:r>
          </w:p>
          <w:p>
            <w:pPr>
              <w:jc w:val="center"/>
              <w:rPr>
                <w:rFonts w:ascii="仿宋_GB2312" w:hAnsi="仿宋" w:eastAsia="仿宋_GB2312"/>
                <w:sz w:val="28"/>
                <w:szCs w:val="28"/>
              </w:rPr>
            </w:pPr>
            <w:r>
              <w:rPr>
                <w:rFonts w:hint="eastAsia" w:ascii="仿宋_GB2312" w:hAnsi="仿宋" w:eastAsia="仿宋_GB2312"/>
                <w:sz w:val="28"/>
                <w:szCs w:val="28"/>
              </w:rPr>
              <w:t>简</w:t>
            </w:r>
          </w:p>
          <w:p>
            <w:pPr>
              <w:jc w:val="center"/>
              <w:rPr>
                <w:sz w:val="32"/>
                <w:szCs w:val="32"/>
              </w:rPr>
            </w:pPr>
            <w:r>
              <w:rPr>
                <w:rFonts w:hint="eastAsia" w:ascii="仿宋_GB2312" w:hAnsi="仿宋" w:eastAsia="仿宋_GB2312"/>
                <w:sz w:val="28"/>
                <w:szCs w:val="28"/>
              </w:rPr>
              <w:t>介</w:t>
            </w:r>
          </w:p>
        </w:tc>
        <w:tc>
          <w:tcPr>
            <w:tcW w:w="7738" w:type="dxa"/>
            <w:gridSpan w:val="4"/>
            <w:vAlign w:val="top"/>
          </w:tcPr>
          <w:p>
            <w:pPr>
              <w:rPr>
                <w:rFonts w:ascii="仿宋_GB2312" w:eastAsia="仿宋_GB2312"/>
                <w:color w:val="000000"/>
                <w:sz w:val="28"/>
              </w:rPr>
            </w:pPr>
            <w:r>
              <w:rPr>
                <w:rFonts w:hint="eastAsia" w:ascii="仿宋_GB2312" w:eastAsia="仿宋_GB2312"/>
                <w:color w:val="000000"/>
                <w:sz w:val="28"/>
              </w:rPr>
              <w:t>（活动名称、活动内容、举办时间及方式、参加人员情况）</w:t>
            </w:r>
          </w:p>
          <w:p>
            <w:pP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1、中国动物园协会“守护藏羚羊 保卫母亲河”全国联动公益宣讲校园</w:t>
            </w:r>
          </w:p>
          <w:p>
            <w:pPr>
              <w:spacing w:line="44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2015年是中国传统的羊年，</w:t>
            </w:r>
            <w:r>
              <w:rPr>
                <w:rFonts w:hint="eastAsia" w:ascii="楷体_GB2312" w:hAnsi="楷体_GB2312" w:eastAsia="楷体_GB2312" w:cs="楷体_GB2312"/>
                <w:sz w:val="28"/>
                <w:szCs w:val="28"/>
                <w:lang w:eastAsia="zh-CN"/>
              </w:rPr>
              <w:t>中国动物园协会</w:t>
            </w:r>
            <w:r>
              <w:rPr>
                <w:rFonts w:hint="eastAsia" w:ascii="楷体_GB2312" w:hAnsi="楷体_GB2312" w:eastAsia="楷体_GB2312" w:cs="楷体_GB2312"/>
                <w:sz w:val="28"/>
                <w:szCs w:val="28"/>
              </w:rPr>
              <w:t>以“守护藏羚羊、保卫母亲河”为主题，推出全国联动活动公益宣讲进校园</w:t>
            </w:r>
            <w:r>
              <w:rPr>
                <w:rFonts w:hint="eastAsia" w:ascii="楷体_GB2312" w:hAnsi="楷体_GB2312" w:eastAsia="楷体_GB2312" w:cs="楷体_GB2312"/>
                <w:sz w:val="28"/>
                <w:szCs w:val="28"/>
                <w:lang w:eastAsia="zh-CN"/>
              </w:rPr>
              <w:t>。南京动物园教育人员将在本市各小学</w:t>
            </w:r>
            <w:r>
              <w:rPr>
                <w:rFonts w:hint="eastAsia" w:ascii="楷体_GB2312" w:hAnsi="楷体_GB2312" w:eastAsia="楷体_GB2312" w:cs="楷体_GB2312"/>
                <w:sz w:val="28"/>
                <w:szCs w:val="28"/>
              </w:rPr>
              <w:t>开展公益宣讲交接培训课，</w:t>
            </w:r>
            <w:r>
              <w:rPr>
                <w:rFonts w:hint="eastAsia" w:ascii="楷体_GB2312" w:hAnsi="楷体_GB2312" w:eastAsia="楷体_GB2312" w:cs="楷体_GB2312"/>
                <w:sz w:val="28"/>
                <w:szCs w:val="28"/>
                <w:lang w:eastAsia="zh-CN"/>
              </w:rPr>
              <w:t>提供宣讲</w:t>
            </w:r>
            <w:r>
              <w:rPr>
                <w:rFonts w:hint="eastAsia" w:ascii="楷体_GB2312" w:hAnsi="楷体_GB2312" w:eastAsia="楷体_GB2312" w:cs="楷体_GB2312"/>
                <w:sz w:val="28"/>
                <w:szCs w:val="28"/>
                <w:lang w:val="en-US" w:eastAsia="zh-CN"/>
              </w:rPr>
              <w:t>PPT、讲义、活动宣传册等，</w:t>
            </w:r>
            <w:r>
              <w:rPr>
                <w:rFonts w:hint="eastAsia" w:ascii="楷体_GB2312" w:hAnsi="楷体_GB2312" w:eastAsia="楷体_GB2312" w:cs="楷体_GB2312"/>
                <w:sz w:val="28"/>
                <w:szCs w:val="28"/>
              </w:rPr>
              <w:t>培训各学校每班级活动宣传大使，在本校各班级开展主题班会，并发动藏羚羊保护爱心捐助活动、“守护藏羚羊 保护母亲河”主题作文、绘画、演讲比赛等。</w:t>
            </w:r>
          </w:p>
          <w:p>
            <w:pP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2、广场科普咨询活动</w:t>
            </w:r>
          </w:p>
          <w:p>
            <w:pPr>
              <w:spacing w:line="440" w:lineRule="exact"/>
              <w:rPr>
                <w:rFonts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5月16日在南京科技馆开展</w:t>
            </w:r>
            <w:r>
              <w:rPr>
                <w:rFonts w:hint="eastAsia" w:ascii="楷体_GB2312" w:hAnsi="楷体_GB2312" w:eastAsia="楷体_GB2312" w:cs="楷体_GB2312"/>
                <w:sz w:val="28"/>
                <w:szCs w:val="28"/>
                <w:lang w:eastAsia="zh-CN"/>
              </w:rPr>
              <w:t>参加全市科普教育交流活动。动物园将结合本园特色，开展</w:t>
            </w:r>
            <w:r>
              <w:rPr>
                <w:rFonts w:hint="eastAsia" w:ascii="楷体_GB2312" w:hAnsi="楷体_GB2312" w:eastAsia="楷体_GB2312" w:cs="楷体_GB2312"/>
                <w:sz w:val="28"/>
                <w:szCs w:val="28"/>
              </w:rPr>
              <w:t>关于野生动物保护方面的科普咨询活动，活动现场主要展示动物救护科普常识以及不把野生动物做宠物等野生动物方面的宣传展板</w:t>
            </w:r>
            <w:r>
              <w:rPr>
                <w:rFonts w:hint="eastAsia" w:ascii="楷体_GB2312" w:hAnsi="楷体_GB2312" w:eastAsia="楷体_GB2312" w:cs="楷体_GB2312"/>
                <w:sz w:val="28"/>
                <w:szCs w:val="28"/>
                <w:lang w:eastAsia="zh-CN"/>
              </w:rPr>
              <w:t>，并发放野生动物园救护、观鸟手册等</w:t>
            </w:r>
            <w:r>
              <w:rPr>
                <w:rFonts w:hint="eastAsia" w:ascii="楷体_GB2312" w:hAnsi="楷体_GB2312" w:eastAsia="楷体_GB2312" w:cs="楷体_GB2312"/>
                <w:sz w:val="28"/>
                <w:szCs w:val="28"/>
              </w:rPr>
              <w:t>多种科普宣传</w:t>
            </w:r>
            <w:r>
              <w:rPr>
                <w:rFonts w:hint="eastAsia" w:ascii="楷体_GB2312" w:hAnsi="楷体_GB2312" w:eastAsia="楷体_GB2312" w:cs="楷体_GB2312"/>
                <w:sz w:val="28"/>
                <w:szCs w:val="28"/>
                <w:lang w:eastAsia="zh-CN"/>
              </w:rPr>
              <w:t>材料</w:t>
            </w:r>
            <w:r>
              <w:rPr>
                <w:rFonts w:hint="eastAsia" w:ascii="楷体_GB2312" w:hAnsi="楷体_GB2312" w:eastAsia="楷体_GB2312" w:cs="楷体_GB2312"/>
                <w:sz w:val="28"/>
                <w:szCs w:val="28"/>
              </w:rPr>
              <w:t>。</w:t>
            </w:r>
          </w:p>
          <w:p>
            <w:pP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3、动物园幕后之旅保护教育项目</w:t>
            </w:r>
          </w:p>
          <w:p>
            <w:pPr>
              <w:spacing w:line="440" w:lineRule="exact"/>
              <w:rPr>
                <w:rFonts w:hint="eastAsia" w:ascii="楷体_GB2312" w:hAnsi="楷体_GB2312" w:eastAsia="楷体_GB2312" w:cs="楷体_GB2312"/>
                <w:sz w:val="24"/>
              </w:rPr>
            </w:pP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面对全市市民推出大熊猫、犀鸟、长颈鹿、虎、黑猩猩和澳洲区六个场馆</w:t>
            </w:r>
            <w:r>
              <w:rPr>
                <w:rFonts w:hint="eastAsia" w:ascii="楷体_GB2312" w:hAnsi="楷体_GB2312" w:eastAsia="楷体_GB2312" w:cs="楷体_GB2312"/>
                <w:sz w:val="28"/>
                <w:szCs w:val="28"/>
                <w:lang w:eastAsia="zh-CN"/>
              </w:rPr>
              <w:t>周末</w:t>
            </w:r>
            <w:r>
              <w:rPr>
                <w:rFonts w:hint="eastAsia" w:ascii="楷体_GB2312" w:hAnsi="楷体_GB2312" w:eastAsia="楷体_GB2312" w:cs="楷体_GB2312"/>
                <w:sz w:val="28"/>
                <w:szCs w:val="28"/>
              </w:rPr>
              <w:t>幕后之旅的保护教育活动项目，让更多的亲子家庭在轻松游玩深度体验中，既了解到动物世界的神奇与魅力，又理解到我们倡导和鼓励绿色、环保、低碳的生活习惯和消费理念与这些可爱动物的家园以及我们自己的环境是密切相关的</w:t>
            </w:r>
            <w:r>
              <w:rPr>
                <w:rFonts w:hint="eastAsia" w:ascii="楷体_GB2312" w:hAnsi="楷体_GB2312" w:eastAsia="楷体_GB2312" w:cs="楷体_GB2312"/>
                <w:sz w:val="24"/>
              </w:rPr>
              <w:t>。</w:t>
            </w:r>
          </w:p>
          <w:p>
            <w:pP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4、动物园团队科普游</w:t>
            </w:r>
          </w:p>
          <w:p>
            <w:pPr>
              <w:spacing w:line="440" w:lineRule="exact"/>
              <w:rPr>
                <w:rFonts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 xml:space="preserve">    科普周期间来动物园组织游园的</w:t>
            </w:r>
            <w:r>
              <w:rPr>
                <w:rFonts w:hint="eastAsia" w:ascii="楷体_GB2312" w:hAnsi="楷体_GB2312" w:eastAsia="楷体_GB2312" w:cs="楷体_GB2312"/>
                <w:sz w:val="28"/>
                <w:szCs w:val="28"/>
              </w:rPr>
              <w:t>团队</w:t>
            </w:r>
            <w:r>
              <w:rPr>
                <w:rFonts w:hint="eastAsia" w:ascii="楷体_GB2312" w:hAnsi="楷体_GB2312" w:eastAsia="楷体_GB2312" w:cs="楷体_GB2312"/>
                <w:sz w:val="28"/>
                <w:szCs w:val="28"/>
                <w:lang w:eastAsia="zh-CN"/>
              </w:rPr>
              <w:t>，每个班级都将</w:t>
            </w:r>
            <w:r>
              <w:rPr>
                <w:rFonts w:hint="eastAsia" w:ascii="楷体_GB2312" w:hAnsi="楷体_GB2312" w:eastAsia="楷体_GB2312" w:cs="楷体_GB2312"/>
                <w:sz w:val="28"/>
                <w:szCs w:val="28"/>
              </w:rPr>
              <w:t>有一次“饲养员面对面”</w:t>
            </w:r>
            <w:r>
              <w:rPr>
                <w:rFonts w:hint="eastAsia" w:ascii="楷体_GB2312" w:hAnsi="楷体_GB2312" w:eastAsia="楷体_GB2312" w:cs="楷体_GB2312"/>
                <w:sz w:val="28"/>
                <w:szCs w:val="28"/>
                <w:lang w:eastAsia="zh-CN"/>
              </w:rPr>
              <w:t>科普讲解的</w:t>
            </w:r>
            <w:r>
              <w:rPr>
                <w:rFonts w:hint="eastAsia" w:ascii="楷体_GB2312" w:hAnsi="楷体_GB2312" w:eastAsia="楷体_GB2312" w:cs="楷体_GB2312"/>
                <w:sz w:val="28"/>
                <w:szCs w:val="28"/>
              </w:rPr>
              <w:t>免费体验活动。园区大熊猫馆、细尾獴馆、犀鸟园</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大象馆、长颈鹿、猩猩馆</w:t>
            </w:r>
            <w:r>
              <w:rPr>
                <w:rFonts w:hint="eastAsia" w:ascii="楷体_GB2312" w:hAnsi="楷体_GB2312" w:eastAsia="楷体_GB2312" w:cs="楷体_GB2312"/>
                <w:sz w:val="28"/>
                <w:szCs w:val="28"/>
                <w:lang w:eastAsia="zh-CN"/>
              </w:rPr>
              <w:t>的饲养员将为孩子们以丰容互动、饲喂演示、模型图片声音展示为手段，讲述他们所饲养的动物神奇可爱之处以及鲜为人知的幕后故事。</w:t>
            </w:r>
            <w:bookmarkStart w:id="0" w:name="_GoBack"/>
            <w:bookmarkEnd w:id="0"/>
          </w:p>
        </w:tc>
      </w:tr>
    </w:tbl>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55EFA"/>
    <w:rsid w:val="000B2FDD"/>
    <w:rsid w:val="000E6E84"/>
    <w:rsid w:val="0010600A"/>
    <w:rsid w:val="001D5D7A"/>
    <w:rsid w:val="00233753"/>
    <w:rsid w:val="002C01FC"/>
    <w:rsid w:val="00351347"/>
    <w:rsid w:val="003959CE"/>
    <w:rsid w:val="004A6308"/>
    <w:rsid w:val="005475D9"/>
    <w:rsid w:val="007D689E"/>
    <w:rsid w:val="009E4B60"/>
    <w:rsid w:val="00BA778E"/>
    <w:rsid w:val="00D55EFA"/>
    <w:rsid w:val="00E6438D"/>
    <w:rsid w:val="314007CC"/>
    <w:rsid w:val="757143A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97</Words>
  <Characters>553</Characters>
  <Lines>4</Lines>
  <Paragraphs>1</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2015-05-13T01:18:00Z</dcterms:created>
  <dc:creator>DADI</dc:creator>
  <cp:lastModifiedBy>Administrator</cp:lastModifiedBy>
  <dcterms:modified xsi:type="dcterms:W3CDTF">2015-05-13T04:51:29Z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